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BD3995">
        <w:rPr>
          <w:rFonts w:ascii="Arial" w:eastAsia="Times New Roman" w:hAnsi="Arial" w:cs="Arial"/>
          <w:b/>
          <w:sz w:val="24"/>
          <w:szCs w:val="24"/>
          <w:lang w:eastAsia="hu-HU"/>
        </w:rPr>
        <w:t>március 14</w:t>
      </w:r>
      <w:bookmarkStart w:id="0" w:name="_GoBack"/>
      <w:bookmarkEnd w:id="0"/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FF6B98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F6B98" w:rsidRPr="00FF6B98" w:rsidRDefault="00FF6B98" w:rsidP="00FF6B98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FF6B98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FF6B98">
        <w:rPr>
          <w:rFonts w:ascii="Arial" w:hAnsi="Arial" w:cs="Arial"/>
          <w:b/>
          <w:sz w:val="24"/>
          <w:szCs w:val="24"/>
        </w:rPr>
        <w:br/>
        <w:t>40/2020.(III.14.) NNÖ határozata</w:t>
      </w:r>
    </w:p>
    <w:p w:rsidR="00FF6B98" w:rsidRPr="00FF6B98" w:rsidRDefault="00FF6B98" w:rsidP="00FF6B98">
      <w:pPr>
        <w:ind w:left="-180"/>
        <w:jc w:val="center"/>
        <w:rPr>
          <w:rFonts w:ascii="Arial" w:hAnsi="Arial" w:cs="Arial"/>
          <w:b/>
          <w:sz w:val="24"/>
          <w:szCs w:val="24"/>
        </w:rPr>
      </w:pPr>
    </w:p>
    <w:p w:rsidR="00FF6B98" w:rsidRPr="00FF6B98" w:rsidRDefault="00FF6B98" w:rsidP="00FF6B98">
      <w:pPr>
        <w:pStyle w:val="Listaszerbekezds"/>
        <w:ind w:left="108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F6B98">
        <w:rPr>
          <w:rFonts w:ascii="Arial" w:hAnsi="Arial" w:cs="Arial"/>
          <w:b/>
          <w:sz w:val="24"/>
          <w:szCs w:val="24"/>
        </w:rPr>
        <w:t>Bechtold</w:t>
      </w:r>
      <w:proofErr w:type="spellEnd"/>
      <w:r w:rsidRPr="00FF6B98">
        <w:rPr>
          <w:rFonts w:ascii="Arial" w:hAnsi="Arial" w:cs="Arial"/>
          <w:b/>
          <w:sz w:val="24"/>
          <w:szCs w:val="24"/>
        </w:rPr>
        <w:t xml:space="preserve"> Sváb Tájházzal kapcsolatos személyügyi kérdések</w:t>
      </w:r>
    </w:p>
    <w:p w:rsidR="00FF6B98" w:rsidRPr="00FF6B98" w:rsidRDefault="00FF6B98" w:rsidP="00FF6B98">
      <w:pPr>
        <w:jc w:val="both"/>
        <w:rPr>
          <w:rFonts w:ascii="Arial" w:hAnsi="Arial" w:cs="Arial"/>
          <w:sz w:val="24"/>
          <w:szCs w:val="24"/>
        </w:rPr>
      </w:pPr>
      <w:r w:rsidRPr="00FF6B98">
        <w:rPr>
          <w:rFonts w:ascii="Arial" w:hAnsi="Arial" w:cs="Arial"/>
          <w:sz w:val="24"/>
          <w:szCs w:val="24"/>
        </w:rPr>
        <w:t xml:space="preserve">A Német Nemzetiségi Önkormányzat Biatorbágy megállapítja, hogy a Tájház gondnokának, </w:t>
      </w:r>
      <w:proofErr w:type="spellStart"/>
      <w:r w:rsidRPr="00FF6B98">
        <w:rPr>
          <w:rFonts w:ascii="Arial" w:hAnsi="Arial" w:cs="Arial"/>
          <w:sz w:val="24"/>
          <w:szCs w:val="24"/>
        </w:rPr>
        <w:t>Kindl</w:t>
      </w:r>
      <w:proofErr w:type="spellEnd"/>
      <w:r w:rsidRPr="00FF6B98">
        <w:rPr>
          <w:rFonts w:ascii="Arial" w:hAnsi="Arial" w:cs="Arial"/>
          <w:sz w:val="24"/>
          <w:szCs w:val="24"/>
        </w:rPr>
        <w:t xml:space="preserve"> Imrének megbízási szerződése 2020. március 31-én lejár, ezért felkéri a Tájház vezetőjét, hogy a gondnoki teendők ellátására 2020. április 1-jétől további 1 évre kösse meg a megbízási szerződést. </w:t>
      </w:r>
    </w:p>
    <w:p w:rsidR="00FF6B98" w:rsidRPr="0080215B" w:rsidRDefault="00FF6B98" w:rsidP="00FF6B98">
      <w:pPr>
        <w:ind w:left="-180"/>
        <w:jc w:val="both"/>
        <w:rPr>
          <w:rFonts w:ascii="Arial" w:hAnsi="Arial" w:cs="Arial"/>
        </w:rPr>
      </w:pP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3F0ECF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D3995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13</cp:revision>
  <cp:lastPrinted>2013-12-09T15:03:00Z</cp:lastPrinted>
  <dcterms:created xsi:type="dcterms:W3CDTF">2015-02-25T13:20:00Z</dcterms:created>
  <dcterms:modified xsi:type="dcterms:W3CDTF">2020-04-22T06:44:00Z</dcterms:modified>
</cp:coreProperties>
</file>